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914C" w14:textId="77777777" w:rsidR="00C9392B" w:rsidRDefault="00C9392B">
      <w:pPr>
        <w:rPr>
          <w:lang w:val="ru-RU"/>
        </w:rPr>
      </w:pPr>
    </w:p>
    <w:p w14:paraId="6E64FE66" w14:textId="77777777" w:rsidR="00C9392B" w:rsidRDefault="00C9392B">
      <w:pPr>
        <w:rPr>
          <w:lang w:val="ru-RU"/>
        </w:rPr>
      </w:pPr>
    </w:p>
    <w:p w14:paraId="7F882CBD" w14:textId="77777777" w:rsidR="00C9392B" w:rsidRDefault="00C9392B">
      <w:pPr>
        <w:rPr>
          <w:lang w:val="ru-RU"/>
        </w:rPr>
      </w:pPr>
    </w:p>
    <w:p w14:paraId="15EAF7A0" w14:textId="77777777" w:rsidR="00C9392B" w:rsidRDefault="00C9392B">
      <w:pPr>
        <w:rPr>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5854939F" w14:textId="77777777" w:rsidR="00C9392B" w:rsidRDefault="00C9392B">
      <w:pPr>
        <w:rPr>
          <w:lang w:val="ru-RU"/>
        </w:rPr>
      </w:pPr>
    </w:p>
    <w:p w14:paraId="7D49309A" w14:textId="77777777" w:rsidR="00C9392B" w:rsidRDefault="00C9392B">
      <w:pPr>
        <w:rPr>
          <w:lang w:val="ru-RU"/>
        </w:rPr>
      </w:pPr>
    </w:p>
    <w:p w14:paraId="666EC30E" w14:textId="77777777" w:rsidR="00C9392B" w:rsidRDefault="00C9392B">
      <w:pPr>
        <w:rPr>
          <w:lang w:val="ru-RU"/>
        </w:rPr>
      </w:pPr>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13423BCA" w14:textId="6B47ECE4" w:rsidR="00C9392B" w:rsidRDefault="003E66F5">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p>
    <w:p w14:paraId="773ABF9F"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для организаций отдыха детей и их оздоровления</w:t>
      </w:r>
    </w:p>
    <w:p w14:paraId="416F2427"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в Республике Бурятия</w:t>
      </w:r>
    </w:p>
    <w:p w14:paraId="676F7F03" w14:textId="77777777" w:rsidR="00C9392B" w:rsidRDefault="00C9392B">
      <w:pPr>
        <w:jc w:val="center"/>
        <w:rPr>
          <w:rFonts w:ascii="Times New Roman" w:hAnsi="Times New Roman" w:cs="Times New Roman"/>
          <w:sz w:val="28"/>
          <w:szCs w:val="28"/>
          <w:lang w:val="ru-RU"/>
        </w:rPr>
      </w:pPr>
    </w:p>
    <w:p w14:paraId="2AB1935C" w14:textId="77777777" w:rsidR="00C9392B" w:rsidRDefault="00C9392B">
      <w:pPr>
        <w:jc w:val="center"/>
        <w:rPr>
          <w:rFonts w:ascii="Times New Roman" w:hAnsi="Times New Roman" w:cs="Times New Roman"/>
          <w:sz w:val="28"/>
          <w:szCs w:val="28"/>
          <w:lang w:val="ru-RU"/>
        </w:rPr>
      </w:pPr>
    </w:p>
    <w:p w14:paraId="11E5FEBE"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3F0DC773" w14:textId="77777777" w:rsidR="00C9392B" w:rsidRDefault="00C9392B">
      <w:pPr>
        <w:jc w:val="center"/>
        <w:rPr>
          <w:rFonts w:ascii="Times New Roman" w:hAnsi="Times New Roman" w:cs="Times New Roman"/>
          <w:sz w:val="28"/>
          <w:szCs w:val="28"/>
          <w:lang w:val="ru-RU"/>
        </w:rPr>
      </w:pPr>
    </w:p>
    <w:p w14:paraId="6131B942"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3208EED5" w14:textId="77777777" w:rsidR="00C9392B" w:rsidRDefault="00C9392B">
      <w:pPr>
        <w:jc w:val="center"/>
        <w:rPr>
          <w:rFonts w:ascii="Times New Roman" w:hAnsi="Times New Roman" w:cs="Times New Roman"/>
          <w:sz w:val="28"/>
          <w:szCs w:val="28"/>
          <w:lang w:val="ru-RU"/>
        </w:rPr>
      </w:pPr>
    </w:p>
    <w:p w14:paraId="1DA7A960"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Улан-Удэ</w:t>
      </w:r>
    </w:p>
    <w:p w14:paraId="39903438"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167FD7C4" w14:textId="77777777" w:rsidR="00C9392B" w:rsidRDefault="00C9392B">
      <w:pPr>
        <w:jc w:val="center"/>
        <w:rPr>
          <w:rFonts w:ascii="Times New Roman" w:hAnsi="Times New Roman" w:cs="Times New Roman"/>
          <w:sz w:val="28"/>
          <w:szCs w:val="28"/>
          <w:lang w:val="ru-RU"/>
        </w:rPr>
      </w:pPr>
    </w:p>
    <w:p w14:paraId="30C5D91D" w14:textId="77777777" w:rsidR="00C9392B" w:rsidRDefault="00C9392B">
      <w:pPr>
        <w:jc w:val="center"/>
        <w:rPr>
          <w:rFonts w:ascii="Times New Roman" w:hAnsi="Times New Roman" w:cs="Times New Roman"/>
          <w:sz w:val="28"/>
          <w:szCs w:val="28"/>
          <w:lang w:val="ru-RU"/>
        </w:rPr>
      </w:pPr>
    </w:p>
    <w:p w14:paraId="5D323A61" w14:textId="77777777" w:rsidR="00C9392B" w:rsidRDefault="00C9392B">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2FFA8CB1" w14:textId="77777777" w:rsidR="00C9392B" w:rsidRDefault="00C9392B">
      <w:pPr>
        <w:rPr>
          <w:rFonts w:ascii="Times New Roman" w:hAnsi="Times New Roman" w:cs="Times New Roman"/>
          <w:sz w:val="28"/>
          <w:szCs w:val="28"/>
          <w:lang w:val="ru-RU"/>
        </w:rPr>
      </w:pPr>
    </w:p>
    <w:p w14:paraId="2995ECC8"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41B84CC9"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lastRenderedPageBreak/>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w:t>
      </w:r>
      <w:r>
        <w:rPr>
          <w:rFonts w:ascii="Times New Roman" w:hAnsi="Times New Roman"/>
          <w:sz w:val="28"/>
          <w:szCs w:val="28"/>
          <w:lang w:val="ru-RU"/>
        </w:rPr>
        <w:lastRenderedPageBreak/>
        <w:t>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внедрение единых принципов, методов и форм 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 xml:space="preserve">аций отдыха детей и оздоровления в их </w:t>
      </w:r>
      <w:r>
        <w:rPr>
          <w:rFonts w:ascii="Times New Roman" w:hAnsi="Times New Roman"/>
          <w:sz w:val="28"/>
          <w:szCs w:val="28"/>
          <w:lang w:val="ru-RU"/>
        </w:rPr>
        <w:lastRenderedPageBreak/>
        <w:t>применении к процессу воспитания, формирования и развития субъектности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w:t>
      </w:r>
      <w:r>
        <w:rPr>
          <w:rFonts w:ascii="Times New Roman" w:hAnsi="Times New Roman"/>
          <w:sz w:val="28"/>
          <w:szCs w:val="28"/>
          <w:lang w:val="ru-RU"/>
        </w:rPr>
        <w:lastRenderedPageBreak/>
        <w:t>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lastRenderedPageBreak/>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BE6CD5">
        <w:rPr>
          <w:rFonts w:ascii="Times New Roman" w:hAnsi="Times New Roman" w:cs="Times New Roman"/>
          <w:sz w:val="28"/>
          <w:szCs w:val="28"/>
          <w:lang w:val="ru-RU"/>
        </w:rPr>
        <w:lastRenderedPageBreak/>
        <w:t>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w:t>
      </w:r>
      <w:r w:rsidR="00285C28" w:rsidRPr="00BE6CD5">
        <w:rPr>
          <w:rFonts w:ascii="Times New Roman" w:hAnsi="Times New Roman" w:cs="Times New Roman"/>
          <w:sz w:val="28"/>
          <w:szCs w:val="28"/>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экскурсии  по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При организации воспитания детей с OB3, инвалидностью следует ориентироваться на:</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состоянию методов воспитания ;</w:t>
      </w:r>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«Цифровая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Цифровая среда воспитания предполагает ряд следующих мероприятий: </w:t>
      </w:r>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онлайн-мероприятия в официальных гpyппax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медиапространства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ный интенсив;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t>Общелагерный уровень, который определяет установки содержания и демонстрацию ценностного отношения по каждому из смысловых блоков: «Мир»,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общелагерном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Система индивидуальной работы с ребенком, а также психолого</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23.</w:t>
      </w:r>
      <w:r w:rsidRPr="007908D9">
        <w:rPr>
          <w:rFonts w:ascii="Times New Roman" w:hAnsi="Times New Roman" w:cs="Times New Roman"/>
          <w:sz w:val="28"/>
          <w:szCs w:val="28"/>
          <w:lang w:val="ru-RU"/>
        </w:rPr>
        <w:tab/>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Детские лагеря труда и отдыха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25.</w:t>
      </w:r>
      <w:r w:rsidRPr="007908D9">
        <w:rPr>
          <w:rFonts w:ascii="Times New Roman" w:hAnsi="Times New Roman" w:cs="Times New Roman"/>
          <w:sz w:val="28"/>
          <w:szCs w:val="28"/>
          <w:lang w:val="ru-RU"/>
        </w:rPr>
        <w:tab/>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29.5.</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совместная реализация тематических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законных представителей федерального, регионального и общелагерного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ежесменно</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оборудованные локации для общелагерных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Игры на знакомство, командообразование,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вожатско-педагогического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«Зарничка»,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Общероссийекого общественно-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середины  смены.</w:t>
      </w:r>
      <w:r w:rsidRPr="009C0CDC">
        <w:rPr>
          <w:rFonts w:ascii="Times New Roman" w:hAnsi="Times New Roman" w:cs="Times New Roman"/>
          <w:sz w:val="28"/>
          <w:szCs w:val="28"/>
          <w:lang w:val="ru-RU"/>
        </w:rPr>
        <w:t xml:space="preserve">  Снятия  эмоционального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7"/>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E0536" w14:textId="77777777" w:rsidR="002D2B14" w:rsidRDefault="002D2B14" w:rsidP="0027784F">
      <w:r>
        <w:separator/>
      </w:r>
    </w:p>
  </w:endnote>
  <w:endnote w:type="continuationSeparator" w:id="0">
    <w:p w14:paraId="38B11CD3" w14:textId="77777777" w:rsidR="002D2B14" w:rsidRDefault="002D2B14"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DAC8" w14:textId="77777777" w:rsidR="002D2B14" w:rsidRDefault="002D2B14" w:rsidP="0027784F">
      <w:r>
        <w:separator/>
      </w:r>
    </w:p>
  </w:footnote>
  <w:footnote w:type="continuationSeparator" w:id="0">
    <w:p w14:paraId="053C50EB" w14:textId="77777777" w:rsidR="002D2B14" w:rsidRDefault="002D2B14" w:rsidP="0027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845475"/>
      <w:docPartObj>
        <w:docPartGallery w:val="Page Numbers (Top of Page)"/>
        <w:docPartUnique/>
      </w:docPartObj>
    </w:sdtPr>
    <w:sdtContent>
      <w:p w14:paraId="5796CFD0" w14:textId="104FF661" w:rsidR="0027784F" w:rsidRDefault="0027784F">
        <w:pPr>
          <w:pStyle w:val="a4"/>
          <w:jc w:val="center"/>
        </w:pPr>
        <w:r>
          <w:fldChar w:fldCharType="begin"/>
        </w:r>
        <w:r>
          <w:instrText>PAGE   \* MERGEFORMAT</w:instrText>
        </w:r>
        <w:r>
          <w:fldChar w:fldCharType="separate"/>
        </w:r>
        <w:r w:rsidR="003E66F5" w:rsidRPr="003E66F5">
          <w:rPr>
            <w:noProof/>
            <w:lang w:val="ru-RU"/>
          </w:rPr>
          <w:t>1</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69167B3"/>
    <w:multiLevelType w:val="singleLevel"/>
    <w:tmpl w:val="D69167B3"/>
    <w:lvl w:ilvl="0">
      <w:start w:val="1"/>
      <w:numFmt w:val="upperRoman"/>
      <w:lvlText w:val="%1."/>
      <w:lvlJc w:val="left"/>
      <w:pPr>
        <w:tabs>
          <w:tab w:val="left" w:pos="312"/>
        </w:tabs>
      </w:pPr>
    </w:lvl>
  </w:abstractNum>
  <w:abstractNum w:abstractNumId="2" w15:restartNumberingAfterBreak="0">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0D7989C"/>
    <w:multiLevelType w:val="singleLevel"/>
    <w:tmpl w:val="30D7989C"/>
    <w:lvl w:ilvl="0">
      <w:start w:val="1"/>
      <w:numFmt w:val="upperRoman"/>
      <w:suff w:val="space"/>
      <w:lvlText w:val="%1."/>
      <w:lvlJc w:val="left"/>
    </w:lvl>
  </w:abstractNum>
  <w:abstractNum w:abstractNumId="9" w15:restartNumberingAfterBreak="0">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1620379874">
    <w:abstractNumId w:val="8"/>
  </w:num>
  <w:num w:numId="2" w16cid:durableId="112136504">
    <w:abstractNumId w:val="1"/>
  </w:num>
  <w:num w:numId="3" w16cid:durableId="432365592">
    <w:abstractNumId w:val="0"/>
  </w:num>
  <w:num w:numId="4" w16cid:durableId="2033529515">
    <w:abstractNumId w:val="7"/>
  </w:num>
  <w:num w:numId="5" w16cid:durableId="1498223881">
    <w:abstractNumId w:val="12"/>
  </w:num>
  <w:num w:numId="6" w16cid:durableId="469830181">
    <w:abstractNumId w:val="14"/>
  </w:num>
  <w:num w:numId="7" w16cid:durableId="785781090">
    <w:abstractNumId w:val="11"/>
  </w:num>
  <w:num w:numId="8" w16cid:durableId="503327647">
    <w:abstractNumId w:val="2"/>
  </w:num>
  <w:num w:numId="9" w16cid:durableId="1129280016">
    <w:abstractNumId w:val="4"/>
  </w:num>
  <w:num w:numId="10" w16cid:durableId="377707502">
    <w:abstractNumId w:val="6"/>
  </w:num>
  <w:num w:numId="11" w16cid:durableId="1707364361">
    <w:abstractNumId w:val="9"/>
  </w:num>
  <w:num w:numId="12" w16cid:durableId="1939635074">
    <w:abstractNumId w:val="3"/>
  </w:num>
  <w:num w:numId="13" w16cid:durableId="853812144">
    <w:abstractNumId w:val="10"/>
  </w:num>
  <w:num w:numId="14" w16cid:durableId="755591647">
    <w:abstractNumId w:val="16"/>
  </w:num>
  <w:num w:numId="15" w16cid:durableId="1838377823">
    <w:abstractNumId w:val="15"/>
  </w:num>
  <w:num w:numId="16" w16cid:durableId="1793131712">
    <w:abstractNumId w:val="17"/>
  </w:num>
  <w:num w:numId="17" w16cid:durableId="1228609444">
    <w:abstractNumId w:val="5"/>
  </w:num>
  <w:num w:numId="18" w16cid:durableId="1325236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2B"/>
    <w:rsid w:val="0027784F"/>
    <w:rsid w:val="00285C28"/>
    <w:rsid w:val="002A32F2"/>
    <w:rsid w:val="002D2B14"/>
    <w:rsid w:val="0031427A"/>
    <w:rsid w:val="003E66F5"/>
    <w:rsid w:val="004C1312"/>
    <w:rsid w:val="006E61A3"/>
    <w:rsid w:val="007908D9"/>
    <w:rsid w:val="008B399D"/>
    <w:rsid w:val="009C0CDC"/>
    <w:rsid w:val="00BE6CD5"/>
    <w:rsid w:val="00C9392B"/>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9CA376-595E-44BB-9287-2EBBDDF8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11621</Words>
  <Characters>66242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cp:revision>
  <dcterms:created xsi:type="dcterms:W3CDTF">2025-05-05T05:21:00Z</dcterms:created>
  <dcterms:modified xsi:type="dcterms:W3CDTF">2025-05-05T05:21:00Z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